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2" w:rsidRP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8A3A5A">
        <w:rPr>
          <w:rFonts w:ascii="Century Schoolbook" w:hAnsi="Century Schoolbook"/>
          <w:b/>
          <w:sz w:val="28"/>
          <w:szCs w:val="28"/>
        </w:rPr>
        <w:t>Syllabus</w:t>
      </w:r>
      <w:r>
        <w:rPr>
          <w:rFonts w:ascii="Century Schoolbook" w:hAnsi="Century Schoolbook"/>
          <w:b/>
          <w:sz w:val="28"/>
          <w:szCs w:val="28"/>
        </w:rPr>
        <w:t xml:space="preserve">           </w:t>
      </w:r>
      <w:r w:rsidR="002665F0">
        <w:rPr>
          <w:rFonts w:ascii="Century Schoolbook" w:hAnsi="Century Schoolbook"/>
          <w:b/>
          <w:sz w:val="28"/>
          <w:szCs w:val="28"/>
        </w:rPr>
        <w:t>Honors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 w:rsidRPr="008A3A5A">
        <w:rPr>
          <w:rFonts w:ascii="Century Schoolbook" w:hAnsi="Century Schoolbook"/>
          <w:b/>
          <w:sz w:val="28"/>
          <w:szCs w:val="28"/>
        </w:rPr>
        <w:t xml:space="preserve">English 10 </w:t>
      </w:r>
      <w:r>
        <w:rPr>
          <w:rFonts w:ascii="Century Schoolbook" w:hAnsi="Century Schoolbook"/>
          <w:b/>
          <w:sz w:val="28"/>
          <w:szCs w:val="28"/>
        </w:rPr>
        <w:t xml:space="preserve">  </w:t>
      </w:r>
      <w:r w:rsidRPr="008A3A5A">
        <w:rPr>
          <w:rFonts w:ascii="Century Schoolbook" w:hAnsi="Century Schoolbook"/>
          <w:b/>
          <w:sz w:val="28"/>
          <w:szCs w:val="28"/>
        </w:rPr>
        <w:t xml:space="preserve">   Gloria Anchors  2016-7</w:t>
      </w:r>
    </w:p>
    <w:p w:rsid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8A3A5A">
        <w:rPr>
          <w:rFonts w:ascii="Century Schoolbook" w:hAnsi="Century Schoolbook"/>
          <w:b/>
          <w:sz w:val="28"/>
          <w:szCs w:val="28"/>
        </w:rPr>
        <w:t>Sequatchie County High School</w:t>
      </w:r>
    </w:p>
    <w:p w:rsid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8A3A5A" w:rsidRDefault="008A3A5A" w:rsidP="003B7F72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Literature </w:t>
      </w:r>
      <w:r w:rsidR="00CF2A0D">
        <w:rPr>
          <w:rFonts w:ascii="Century Schoolbook" w:hAnsi="Century Schoolbook"/>
          <w:sz w:val="28"/>
          <w:szCs w:val="28"/>
        </w:rPr>
        <w:t xml:space="preserve">Unit: </w:t>
      </w:r>
      <w:r w:rsidR="003B7F72">
        <w:rPr>
          <w:rFonts w:ascii="Century Schoolbook" w:hAnsi="Century Schoolbook"/>
          <w:sz w:val="28"/>
          <w:szCs w:val="28"/>
        </w:rPr>
        <w:t xml:space="preserve">Man and Machine </w:t>
      </w:r>
      <w:r w:rsidR="001A620C">
        <w:rPr>
          <w:rFonts w:ascii="Century Schoolbook" w:hAnsi="Century Schoolbook"/>
          <w:sz w:val="28"/>
          <w:szCs w:val="28"/>
        </w:rPr>
        <w:t xml:space="preserve">(Reading, Language, Writing, </w:t>
      </w:r>
      <w:r w:rsidR="003B7F72">
        <w:rPr>
          <w:rFonts w:ascii="Century Schoolbook" w:hAnsi="Century Schoolbook"/>
          <w:sz w:val="28"/>
          <w:szCs w:val="28"/>
        </w:rPr>
        <w:t xml:space="preserve">  </w:t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  <w:t xml:space="preserve"> </w:t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3B7F72">
        <w:rPr>
          <w:rFonts w:ascii="Century Schoolbook" w:hAnsi="Century Schoolbook"/>
          <w:sz w:val="28"/>
          <w:szCs w:val="28"/>
        </w:rPr>
        <w:tab/>
      </w:r>
      <w:r w:rsidR="001A620C">
        <w:rPr>
          <w:rFonts w:ascii="Century Schoolbook" w:hAnsi="Century Schoolbook"/>
          <w:sz w:val="28"/>
          <w:szCs w:val="28"/>
        </w:rPr>
        <w:t>Speaking/Listening)</w:t>
      </w:r>
    </w:p>
    <w:p w:rsidR="008A3A5A" w:rsidRDefault="008A3A5A" w:rsidP="008A3A5A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4063"/>
        <w:gridCol w:w="3985"/>
        <w:gridCol w:w="1791"/>
      </w:tblGrid>
      <w:tr w:rsidR="00E83C3F" w:rsidTr="00CF2A0D">
        <w:tc>
          <w:tcPr>
            <w:tcW w:w="1177" w:type="dxa"/>
          </w:tcPr>
          <w:p w:rsidR="008A3A5A" w:rsidRPr="00E83C3F" w:rsidRDefault="00E83C3F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3" w:type="dxa"/>
          </w:tcPr>
          <w:p w:rsidR="008A3A5A" w:rsidRDefault="00E83C3F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5" w:type="dxa"/>
          </w:tcPr>
          <w:p w:rsidR="008A3A5A" w:rsidRDefault="00E83C3F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8A3A5A" w:rsidRPr="00E83C3F" w:rsidRDefault="00E83C3F" w:rsidP="008A3A5A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E83C3F" w:rsidTr="00CF2A0D">
        <w:tc>
          <w:tcPr>
            <w:tcW w:w="1177" w:type="dxa"/>
          </w:tcPr>
          <w:p w:rsidR="008A3A5A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EC75C1" w:rsidRP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8A3A5A" w:rsidRDefault="00CF2A0D" w:rsidP="003B7F7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r w:rsidR="003B7F72">
              <w:rPr>
                <w:rFonts w:ascii="Century Schoolbook" w:hAnsi="Century Schoolbook"/>
                <w:sz w:val="28"/>
                <w:szCs w:val="28"/>
              </w:rPr>
              <w:t>The Fatalist</w:t>
            </w:r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</w:tc>
        <w:tc>
          <w:tcPr>
            <w:tcW w:w="3985" w:type="dxa"/>
          </w:tcPr>
          <w:p w:rsidR="008A3A5A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8A3A5A" w:rsidRDefault="00CF2A0D" w:rsidP="00016D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</w:t>
            </w:r>
            <w:r w:rsidR="00016D5A">
              <w:rPr>
                <w:rFonts w:ascii="Century Schoolbook" w:hAnsi="Century Schoolbook"/>
                <w:sz w:val="28"/>
                <w:szCs w:val="28"/>
              </w:rPr>
              <w:t>9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3B7F7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r w:rsidR="003B7F72">
              <w:rPr>
                <w:rFonts w:ascii="Century Schoolbook" w:hAnsi="Century Schoolbook"/>
                <w:sz w:val="28"/>
                <w:szCs w:val="28"/>
              </w:rPr>
              <w:t>By the Waters of Babylon</w:t>
            </w:r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3B7F7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r w:rsidR="003B7F72">
              <w:rPr>
                <w:rFonts w:ascii="Century Schoolbook" w:hAnsi="Century Schoolbook"/>
                <w:sz w:val="28"/>
                <w:szCs w:val="28"/>
              </w:rPr>
              <w:t>The Cold Equations</w:t>
            </w:r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CF2A0D" w:rsidTr="00016D5A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2C69A5" w:rsidRDefault="00CF2A0D" w:rsidP="003B7F7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r w:rsidR="003B7F72">
              <w:rPr>
                <w:rFonts w:ascii="Century Schoolbook" w:hAnsi="Century Schoolbook"/>
                <w:sz w:val="28"/>
                <w:szCs w:val="28"/>
              </w:rPr>
              <w:t>Nightmare #3</w:t>
            </w:r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  <w:p w:rsidR="00CF2A0D" w:rsidRPr="002C69A5" w:rsidRDefault="002C69A5" w:rsidP="002C69A5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“Ozymandias”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</w:t>
            </w:r>
            <w:r w:rsidR="00016D5A">
              <w:rPr>
                <w:rFonts w:ascii="Century Schoolbook" w:hAnsi="Century Schoolbook"/>
                <w:sz w:val="28"/>
                <w:szCs w:val="28"/>
              </w:rPr>
              <w:t>r development, mini-writes</w:t>
            </w:r>
          </w:p>
        </w:tc>
        <w:tc>
          <w:tcPr>
            <w:tcW w:w="1791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3B7F7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proofErr w:type="spellStart"/>
            <w:r w:rsidR="003B7F72">
              <w:rPr>
                <w:rFonts w:ascii="Century Schoolbook" w:hAnsi="Century Schoolbook"/>
                <w:sz w:val="28"/>
                <w:szCs w:val="28"/>
              </w:rPr>
              <w:t>Epicac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  <w:r w:rsidR="003B7F72">
              <w:rPr>
                <w:rFonts w:ascii="Century Schoolbook" w:hAnsi="Century Schoolbook"/>
                <w:sz w:val="28"/>
                <w:szCs w:val="28"/>
              </w:rPr>
              <w:t xml:space="preserve"> and video “From Agnes with Love” –Twilight Zone</w:t>
            </w:r>
          </w:p>
        </w:tc>
        <w:tc>
          <w:tcPr>
            <w:tcW w:w="3985" w:type="dxa"/>
          </w:tcPr>
          <w:p w:rsidR="00CF2A0D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</w:t>
            </w:r>
          </w:p>
        </w:tc>
        <w:tc>
          <w:tcPr>
            <w:tcW w:w="1791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r w:rsidR="00F6115F">
              <w:rPr>
                <w:rFonts w:ascii="Century Schoolbook" w:hAnsi="Century Schoolbook"/>
                <w:sz w:val="28"/>
                <w:szCs w:val="28"/>
              </w:rPr>
              <w:t>The Veldt</w:t>
            </w:r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</w:tc>
        <w:tc>
          <w:tcPr>
            <w:tcW w:w="3985" w:type="dxa"/>
          </w:tcPr>
          <w:p w:rsidR="00CF2A0D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</w:t>
            </w:r>
          </w:p>
        </w:tc>
        <w:tc>
          <w:tcPr>
            <w:tcW w:w="1791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“There Will Come Soft Rains”</w:t>
            </w: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</w:t>
            </w:r>
          </w:p>
        </w:tc>
        <w:tc>
          <w:tcPr>
            <w:tcW w:w="1791" w:type="dxa"/>
          </w:tcPr>
          <w:p w:rsidR="00F6115F" w:rsidRDefault="00016D5A" w:rsidP="00016D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8B3E75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“Dial F for Frankenstein”</w:t>
            </w:r>
          </w:p>
          <w:p w:rsidR="00F6115F" w:rsidRPr="008B3E75" w:rsidRDefault="008B3E75" w:rsidP="008B3E75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“9 Billion Names of God”</w:t>
            </w:r>
          </w:p>
        </w:tc>
        <w:tc>
          <w:tcPr>
            <w:tcW w:w="3985" w:type="dxa"/>
          </w:tcPr>
          <w:p w:rsidR="00016D5A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Quiz, close read, thematic development, character development, mini-writes </w:t>
            </w:r>
          </w:p>
          <w:p w:rsidR="00016D5A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6D5A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  <w:p w:rsidR="00016D5A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</w:t>
            </w: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Eyebem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>”</w:t>
            </w:r>
          </w:p>
          <w:p w:rsidR="00C0582A" w:rsidRDefault="00C0582A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 Measure of a Man”</w:t>
            </w:r>
            <w:bookmarkStart w:id="0" w:name="_GoBack"/>
            <w:bookmarkEnd w:id="0"/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lastRenderedPageBreak/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“A Day in Megalopolis”</w:t>
            </w:r>
          </w:p>
        </w:tc>
        <w:tc>
          <w:tcPr>
            <w:tcW w:w="3985" w:type="dxa"/>
          </w:tcPr>
          <w:p w:rsidR="00F6115F" w:rsidRPr="00016D5A" w:rsidRDefault="00016D5A" w:rsidP="001B55FB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1-9</w:t>
            </w: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Writing project - Unit analysis, tracing themes, character comparison.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8-9</w:t>
            </w:r>
          </w:p>
        </w:tc>
      </w:tr>
      <w:tr w:rsidR="00F6115F" w:rsidTr="00CF2A0D">
        <w:tc>
          <w:tcPr>
            <w:tcW w:w="1177" w:type="dxa"/>
          </w:tcPr>
          <w:p w:rsidR="00016D5A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F6115F" w:rsidRPr="00EC75C1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Writing project: Themes and Characters in Risk Unit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8-9</w:t>
            </w:r>
          </w:p>
        </w:tc>
      </w:tr>
      <w:tr w:rsidR="00F6115F" w:rsidTr="00CF2A0D">
        <w:tc>
          <w:tcPr>
            <w:tcW w:w="1177" w:type="dxa"/>
          </w:tcPr>
          <w:p w:rsidR="00016D5A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F6115F" w:rsidRPr="00EC75C1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Real World project: Personal Risk Analysis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8-9</w:t>
            </w:r>
          </w:p>
        </w:tc>
      </w:tr>
      <w:tr w:rsidR="00F6115F" w:rsidTr="00CF2A0D">
        <w:tc>
          <w:tcPr>
            <w:tcW w:w="1177" w:type="dxa"/>
          </w:tcPr>
          <w:p w:rsidR="00F6115F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F6115F" w:rsidRPr="00EC75C1" w:rsidRDefault="00F6115F" w:rsidP="00F6115F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Risk Paper: The questioning method of organizing a non-fiction narrative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8-9</w:t>
            </w:r>
          </w:p>
        </w:tc>
      </w:tr>
      <w:tr w:rsidR="00F6115F" w:rsidTr="00CF2A0D">
        <w:tc>
          <w:tcPr>
            <w:tcW w:w="1177" w:type="dxa"/>
          </w:tcPr>
          <w:p w:rsidR="00016D5A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F6115F" w:rsidRPr="00EC75C1" w:rsidRDefault="00016D5A" w:rsidP="00016D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F6115F" w:rsidRDefault="00F6115F" w:rsidP="00F6115F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F6115F" w:rsidRDefault="00016D5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Write: The Risk Paper</w:t>
            </w:r>
          </w:p>
        </w:tc>
        <w:tc>
          <w:tcPr>
            <w:tcW w:w="1791" w:type="dxa"/>
          </w:tcPr>
          <w:p w:rsidR="00F6115F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8-9</w:t>
            </w:r>
          </w:p>
        </w:tc>
      </w:tr>
      <w:tr w:rsidR="00CF2A0D" w:rsidTr="00CF2A0D">
        <w:tc>
          <w:tcPr>
            <w:tcW w:w="1177" w:type="dxa"/>
          </w:tcPr>
          <w:p w:rsidR="00CF2A0D" w:rsidRDefault="00CF2A0D" w:rsidP="00EC75C1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016D5A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Major Exam over all stories</w:t>
            </w:r>
          </w:p>
        </w:tc>
        <w:tc>
          <w:tcPr>
            <w:tcW w:w="1791" w:type="dxa"/>
          </w:tcPr>
          <w:p w:rsidR="00CF2A0D" w:rsidRDefault="00CF2A0D" w:rsidP="00016D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Week </w:t>
            </w:r>
            <w:r w:rsidR="00016D5A">
              <w:rPr>
                <w:rFonts w:ascii="Century Schoolbook" w:hAnsi="Century Schoolbook"/>
                <w:sz w:val="28"/>
                <w:szCs w:val="28"/>
              </w:rPr>
              <w:t xml:space="preserve"> 9</w:t>
            </w:r>
          </w:p>
        </w:tc>
      </w:tr>
    </w:tbl>
    <w:p w:rsidR="008A3A5A" w:rsidRDefault="008A3A5A" w:rsidP="008A3A5A">
      <w:pPr>
        <w:spacing w:after="0"/>
        <w:rPr>
          <w:rFonts w:ascii="Century Schoolbook" w:hAnsi="Century Schoolbook"/>
          <w:sz w:val="28"/>
          <w:szCs w:val="28"/>
        </w:rPr>
      </w:pPr>
    </w:p>
    <w:p w:rsidR="00E83C3F" w:rsidRDefault="00CF2A0D" w:rsidP="00E83C3F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Grammar Study</w:t>
      </w:r>
      <w:r w:rsidR="001A620C">
        <w:rPr>
          <w:rFonts w:ascii="Century Schoolbook" w:hAnsi="Century Schoolbook"/>
          <w:sz w:val="28"/>
          <w:szCs w:val="28"/>
        </w:rPr>
        <w:t xml:space="preserve">    (Language, Reading, Writing, Speaking/Listening)</w:t>
      </w:r>
    </w:p>
    <w:p w:rsidR="00E83C3F" w:rsidRDefault="00E83C3F" w:rsidP="00E83C3F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4069"/>
        <w:gridCol w:w="3980"/>
        <w:gridCol w:w="1791"/>
      </w:tblGrid>
      <w:tr w:rsidR="00E83C3F" w:rsidTr="00E72FFE">
        <w:tc>
          <w:tcPr>
            <w:tcW w:w="1176" w:type="dxa"/>
          </w:tcPr>
          <w:p w:rsidR="00E83C3F" w:rsidRPr="00E83C3F" w:rsidRDefault="00E83C3F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9" w:type="dxa"/>
          </w:tcPr>
          <w:p w:rsidR="00E83C3F" w:rsidRDefault="00E83C3F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0" w:type="dxa"/>
          </w:tcPr>
          <w:p w:rsidR="00E83C3F" w:rsidRDefault="00E83C3F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E83C3F" w:rsidRPr="00E83C3F" w:rsidRDefault="00E83C3F" w:rsidP="001B55FB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5B63" w:rsidRPr="00E85B63" w:rsidRDefault="00EC75C1" w:rsidP="00EC75C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AB19D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Subject-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v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erb 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a</w:t>
            </w:r>
            <w:r>
              <w:rPr>
                <w:rFonts w:ascii="Century Schoolbook" w:hAnsi="Century Schoolbook"/>
                <w:sz w:val="28"/>
                <w:szCs w:val="28"/>
              </w:rPr>
              <w:t>greement</w:t>
            </w:r>
          </w:p>
        </w:tc>
        <w:tc>
          <w:tcPr>
            <w:tcW w:w="3980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Grammar book exercises, teacher created exercises and tests, review </w:t>
            </w:r>
            <w:r w:rsidR="00E72FFE">
              <w:rPr>
                <w:rFonts w:ascii="Century Schoolbook" w:hAnsi="Century Schoolbook"/>
                <w:sz w:val="28"/>
                <w:szCs w:val="28"/>
              </w:rPr>
              <w:t>material, remediation material, final test</w:t>
            </w:r>
          </w:p>
        </w:tc>
        <w:tc>
          <w:tcPr>
            <w:tcW w:w="1791" w:type="dxa"/>
          </w:tcPr>
          <w:p w:rsidR="00E83C3F" w:rsidRDefault="00E85B63" w:rsidP="0082443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Week </w:t>
            </w:r>
            <w:r w:rsidR="0082443A">
              <w:rPr>
                <w:rFonts w:ascii="Century Schoolbook" w:hAnsi="Century Schoolbook"/>
                <w:sz w:val="28"/>
                <w:szCs w:val="28"/>
              </w:rPr>
              <w:t xml:space="preserve"> 1-2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AB19D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Pronoun 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a</w:t>
            </w:r>
            <w:r>
              <w:rPr>
                <w:rFonts w:ascii="Century Schoolbook" w:hAnsi="Century Schoolbook"/>
                <w:sz w:val="28"/>
                <w:szCs w:val="28"/>
              </w:rPr>
              <w:t>greement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3-4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Prepositions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5-6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Sentence combining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7-8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lastRenderedPageBreak/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Quotation marks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 9-10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Sentence-Fragment-Run-ons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11-12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All other punctuation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13-14</w:t>
            </w:r>
          </w:p>
        </w:tc>
      </w:tr>
    </w:tbl>
    <w:p w:rsidR="00E83C3F" w:rsidRDefault="00E83C3F" w:rsidP="008A3A5A">
      <w:pPr>
        <w:spacing w:after="0"/>
        <w:rPr>
          <w:rFonts w:ascii="Century Schoolbook" w:hAnsi="Century Schoolbook"/>
          <w:sz w:val="28"/>
          <w:szCs w:val="28"/>
        </w:rPr>
      </w:pPr>
    </w:p>
    <w:p w:rsidR="0082443A" w:rsidRDefault="0082443A" w:rsidP="0082443A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Literature Unit: A Separate Peace (Reading, Language, Writing,   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 xml:space="preserve"> 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Speaking/Listening)</w:t>
      </w:r>
    </w:p>
    <w:p w:rsidR="0082443A" w:rsidRDefault="0082443A" w:rsidP="0082443A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4063"/>
        <w:gridCol w:w="3985"/>
        <w:gridCol w:w="1791"/>
      </w:tblGrid>
      <w:tr w:rsidR="0082443A" w:rsidTr="001B55FB">
        <w:tc>
          <w:tcPr>
            <w:tcW w:w="1177" w:type="dxa"/>
          </w:tcPr>
          <w:p w:rsidR="0082443A" w:rsidRPr="00E83C3F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3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5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82443A" w:rsidRPr="00E83C3F" w:rsidRDefault="0082443A" w:rsidP="001B55FB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82443A" w:rsidTr="001B55FB">
        <w:tc>
          <w:tcPr>
            <w:tcW w:w="1177" w:type="dxa"/>
          </w:tcPr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82443A" w:rsidRPr="00EC75C1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 Separate Peace</w:t>
            </w:r>
          </w:p>
        </w:tc>
        <w:tc>
          <w:tcPr>
            <w:tcW w:w="3985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82443A" w:rsidRDefault="0082443A" w:rsidP="0082443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10-15</w:t>
            </w:r>
          </w:p>
        </w:tc>
      </w:tr>
      <w:tr w:rsidR="0082443A" w:rsidTr="001B55FB">
        <w:tc>
          <w:tcPr>
            <w:tcW w:w="1177" w:type="dxa"/>
          </w:tcPr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82443A" w:rsidRDefault="0082443A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Research, Writing, Analysis, Close Read of sections, Character development, Thematic development, Exam, Cumulative writing project</w:t>
            </w:r>
          </w:p>
        </w:tc>
        <w:tc>
          <w:tcPr>
            <w:tcW w:w="1791" w:type="dxa"/>
          </w:tcPr>
          <w:p w:rsidR="0082443A" w:rsidRDefault="0082443A" w:rsidP="0082443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16-17</w:t>
            </w:r>
          </w:p>
        </w:tc>
      </w:tr>
    </w:tbl>
    <w:p w:rsidR="00E72FFE" w:rsidRDefault="00E72FFE" w:rsidP="008A3A5A">
      <w:pPr>
        <w:spacing w:after="0"/>
        <w:rPr>
          <w:rFonts w:ascii="Century Schoolbook" w:hAnsi="Century Schoolbook"/>
          <w:sz w:val="28"/>
          <w:szCs w:val="28"/>
        </w:rPr>
      </w:pPr>
    </w:p>
    <w:p w:rsidR="00786B3E" w:rsidRDefault="00786B3E" w:rsidP="00786B3E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Research Unit</w:t>
      </w:r>
    </w:p>
    <w:p w:rsidR="00786B3E" w:rsidRDefault="00786B3E" w:rsidP="00786B3E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4063"/>
        <w:gridCol w:w="3985"/>
        <w:gridCol w:w="1791"/>
      </w:tblGrid>
      <w:tr w:rsidR="00786B3E" w:rsidTr="001B55FB">
        <w:tc>
          <w:tcPr>
            <w:tcW w:w="1177" w:type="dxa"/>
          </w:tcPr>
          <w:p w:rsidR="00786B3E" w:rsidRPr="00E83C3F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3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5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786B3E" w:rsidRPr="00E83C3F" w:rsidRDefault="00786B3E" w:rsidP="001B55FB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786B3E" w:rsidTr="001B55FB">
        <w:tc>
          <w:tcPr>
            <w:tcW w:w="1177" w:type="dxa"/>
          </w:tcPr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786B3E" w:rsidRPr="00EC75C1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Man and Machine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Library, Internet</w:t>
            </w:r>
          </w:p>
        </w:tc>
        <w:tc>
          <w:tcPr>
            <w:tcW w:w="3985" w:type="dxa"/>
          </w:tcPr>
          <w:p w:rsidR="00786B3E" w:rsidRDefault="00786B3E" w:rsidP="00786B3E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Research, real world connections, connections to literature</w:t>
            </w:r>
          </w:p>
        </w:tc>
        <w:tc>
          <w:tcPr>
            <w:tcW w:w="1791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Weeks 9-11</w:t>
            </w:r>
          </w:p>
        </w:tc>
      </w:tr>
      <w:tr w:rsidR="00786B3E" w:rsidTr="001B55FB">
        <w:tc>
          <w:tcPr>
            <w:tcW w:w="1177" w:type="dxa"/>
          </w:tcPr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Major writing project</w:t>
            </w:r>
          </w:p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Group presentations</w:t>
            </w:r>
          </w:p>
        </w:tc>
        <w:tc>
          <w:tcPr>
            <w:tcW w:w="1791" w:type="dxa"/>
          </w:tcPr>
          <w:p w:rsidR="00786B3E" w:rsidRDefault="00786B3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Weeks 12-16</w:t>
            </w:r>
          </w:p>
        </w:tc>
      </w:tr>
    </w:tbl>
    <w:p w:rsidR="00786B3E" w:rsidRDefault="00786B3E" w:rsidP="008A3A5A">
      <w:pPr>
        <w:spacing w:after="0"/>
        <w:rPr>
          <w:rFonts w:ascii="Century Schoolbook" w:hAnsi="Century Schoolbook"/>
          <w:sz w:val="28"/>
          <w:szCs w:val="28"/>
        </w:rPr>
      </w:pPr>
    </w:p>
    <w:sectPr w:rsidR="00786B3E" w:rsidSect="00C14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3A"/>
    <w:rsid w:val="00016D5A"/>
    <w:rsid w:val="00135CAE"/>
    <w:rsid w:val="001A620C"/>
    <w:rsid w:val="002665F0"/>
    <w:rsid w:val="002C69A5"/>
    <w:rsid w:val="003051DF"/>
    <w:rsid w:val="003B7F72"/>
    <w:rsid w:val="0065592F"/>
    <w:rsid w:val="006911ED"/>
    <w:rsid w:val="006915BE"/>
    <w:rsid w:val="00786B3E"/>
    <w:rsid w:val="0082443A"/>
    <w:rsid w:val="008A3A5A"/>
    <w:rsid w:val="008B3E75"/>
    <w:rsid w:val="00AB19D2"/>
    <w:rsid w:val="00B04907"/>
    <w:rsid w:val="00C0582A"/>
    <w:rsid w:val="00C1473A"/>
    <w:rsid w:val="00CF2A0D"/>
    <w:rsid w:val="00E72FFE"/>
    <w:rsid w:val="00E83C3F"/>
    <w:rsid w:val="00E85B63"/>
    <w:rsid w:val="00EC75C1"/>
    <w:rsid w:val="00F6115F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8A3A5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8A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8A3A5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8A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ANCHORS</dc:creator>
  <cp:lastModifiedBy>GLORIA ANCHORS</cp:lastModifiedBy>
  <cp:revision>2</cp:revision>
  <cp:lastPrinted>2016-09-29T15:06:00Z</cp:lastPrinted>
  <dcterms:created xsi:type="dcterms:W3CDTF">2019-09-16T16:20:00Z</dcterms:created>
  <dcterms:modified xsi:type="dcterms:W3CDTF">2019-09-16T16:20:00Z</dcterms:modified>
</cp:coreProperties>
</file>